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1"/>
      </w:tblGrid>
      <w:tr w:rsidR="00A7382F" w:rsidRPr="00A7382F" w:rsidTr="00A7382F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28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5"/>
            </w:tblGrid>
            <w:tr w:rsidR="00A7382F" w:rsidRPr="00DD3A3F" w:rsidTr="004C3066">
              <w:trPr>
                <w:trHeight w:val="480"/>
                <w:jc w:val="center"/>
              </w:trPr>
              <w:tc>
                <w:tcPr>
                  <w:tcW w:w="92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Sosyal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Bakanlığından: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BİRİNCİ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BÖLÜM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Amaç,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Kapsam,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Dayanak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Tanımlar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Amaç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Yönetmeliğin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amacı;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maruziyetinden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kaynaklanabilecek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risklerinden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korunması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önlenmesi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sınır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dâhil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olmak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üzere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asgari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gerekliliklerin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belirlenmesidir.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Kapsam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20/6/2012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6331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Kanunu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kapsamına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giren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bulunan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yapıldığı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işyerlerinde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uygulanır.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Asbest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çalışmalarda,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25/1/2013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28539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Resmî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Gazete’de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yayımlanan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Asbestle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Çalışmalarda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Hakkında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belirtilen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hükümlerle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birlikte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hükümleri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uygulanır.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Radyasyonla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birlikte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farklı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olduğu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radyasyonla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ilgili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özel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mevzuatla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birlikte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hükümleri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uygulanır.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Yalnızca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radyasyona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söz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konusu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olduğu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hükümleri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uygulanmaz.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Dayanak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6331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Kanunun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maddesine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dayanılarak,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Avrupa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Birliğinin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29/4/2004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2004/37/EC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Konsey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Direktifine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paralel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olarak,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hazırlanmıştır.</w:t>
                  </w:r>
                </w:p>
                <w:p w:rsidR="004C3066" w:rsidRPr="00DD3A3F" w:rsidRDefault="004C3066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4C3066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Tanımlar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4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geçen;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Bakanlık: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Sosyal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Bakanlığını,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madde;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Solunduğunda,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yoluyla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alındığında,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deriye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nüfuz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ettiğinde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oluşumuna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oluşumunu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hızlandırabilecek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müstahzarları,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Ek-1’de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belirtilen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işlemler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işlemler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sırasında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ortaya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çıkan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müstahzarı,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madde:</w:t>
                  </w:r>
                  <w:r w:rsidR="004C3066"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Solunduğunda,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yoluyla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alındığında,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deriye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nüfuz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ettiğinde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kalıtımsal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genetik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hasarlara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yol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açabilecek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etkinin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oluşumunu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hızlandırabilecek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müstahzarları,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Sınır</w:t>
                  </w:r>
                  <w:r w:rsidR="004C3066"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değer:</w:t>
                  </w:r>
                  <w:r w:rsidR="004C3066"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belirtilmedikçe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maddenin,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solunum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bölgesinde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bulunan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havadaki,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Ek-2’de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belirlenen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referans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zaman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aralığındaki,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zaman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ağırlıklı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ortalama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konsantrasyonunu</w:t>
                  </w:r>
                  <w:proofErr w:type="gramEnd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Solunum</w:t>
                  </w:r>
                  <w:r w:rsidR="004C3066"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bölgesi:</w:t>
                  </w:r>
                  <w:r w:rsidR="004C3066" w:rsidRPr="004C306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Merkezi,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kişinin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kulaklarını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birleştiren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çizginin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orta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noktası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yarıçaplı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kürenin,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kısmında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yarısını,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ifade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eder.</w:t>
                  </w:r>
                </w:p>
                <w:p w:rsidR="004C3066" w:rsidRDefault="004C3066" w:rsidP="00A7382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tr-TR"/>
                    </w:rPr>
                    <w:t>İKİNCİ</w:t>
                  </w:r>
                  <w:r w:rsidR="004C3066" w:rsidRP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tr-TR"/>
                    </w:rPr>
                    <w:t>BÖLÜM</w:t>
                  </w:r>
                </w:p>
                <w:p w:rsidR="00A7382F" w:rsidRPr="00DD3A3F" w:rsidRDefault="00A7382F" w:rsidP="00A7382F">
                  <w:pPr>
                    <w:spacing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Yükümlülükleri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Risklerin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değerlendirilmesi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29/12/2012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28512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Resmî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Gazete`de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yayımlanan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Değerlendirmesi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uyarınca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gerçekleştirilen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değerlendirmesinde;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bulunan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türü,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düzeyi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süresini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belirleyerek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değerlendirir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Risk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değerlendirmesinde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maddelerin,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deri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yolu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da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dâhil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olmak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üzere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vücuda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giriş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yollarının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tr-TR"/>
                    </w:rPr>
                    <w:t>tümü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dikkate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alınır.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Risk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değerlendirmesi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gerçekleştirilirken,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belirli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risklerden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etkilenecek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sağlık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güvenlikleri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ile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maddelerle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çalışmak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istemeyenlerin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bu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istekleri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özel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olarak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dikkate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alınır.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Kullanımın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azaltılması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6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İşverenler;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güvenliğini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korumak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amacıyla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teknik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olarak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mümkün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olduğu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hâllerde,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tehlikesiz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daha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tehlikeli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müstahzar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kullanarak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işyerindeki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kullanımını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azaltır.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değiştirilmesi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konusunda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araştırma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sonuçlarını,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istenmesi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hâlinde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Bakanlığa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Maruziyetin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önlenmesi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ve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azaltılması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7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çalışmalarda</w:t>
                  </w:r>
                  <w:r w:rsidR="001439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önlenmesi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azaltılması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için;</w:t>
                  </w:r>
                </w:p>
                <w:p w:rsidR="00A7382F" w:rsidRPr="0014392A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a)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İşyerinde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gerçekleştirilen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risk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değerlendirmesi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sonucunda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sağlık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güvenliği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yönünden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risk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bulunduğunun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ortaya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çıkması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hâlinde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tehlikeli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maddelere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maruziyeti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önlenir.</w:t>
                  </w:r>
                </w:p>
                <w:p w:rsidR="00A7382F" w:rsidRPr="0014392A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b)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tehlikesiz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daha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az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tehlikeli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olanlarıyla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değiştirilmesinin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teknik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olarak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mümkün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olmadığı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hâllerde,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bu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üretiminde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kullanılmasında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teknik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imkânlara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göre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kapalı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sistemler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kullanılır.</w:t>
                  </w:r>
                </w:p>
                <w:p w:rsidR="00A7382F" w:rsidRPr="0014392A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c)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Kapalı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sistemle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çalışmanın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teknik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olarak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mümkün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olmadığı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hâllerde,</w:t>
                  </w:r>
                  <w:r w:rsidR="0014392A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maruziyeti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mümkün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olan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en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az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düzeye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indirilir.</w:t>
                  </w:r>
                </w:p>
                <w:p w:rsidR="00A7382F" w:rsidRPr="0014392A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ç)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maddelere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maruziyeti,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Ek-2’de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verilen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sınır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değerleri</w:t>
                  </w:r>
                  <w:r w:rsidR="004C3066"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4392A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aşamaz.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kullanıldığı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işlerde;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1)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İşyerinde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kullanılacak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miktarını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belirler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yapılan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iş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için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gereken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miktardan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fazla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bulunmasını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önler.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maddelere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maruz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kalan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kalabilecek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çalışan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sayısının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mümkün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olan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az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sayıda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olmasını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3)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çalışma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ortamına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yayılmasını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önlemek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aza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indirmek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için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işlem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tasarımını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uygun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şekilde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yapar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gerekli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mühendislik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kontrol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önlemlerinin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alınmasını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4)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kaynağından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lokal</w:t>
                  </w:r>
                  <w:proofErr w:type="gram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genel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havalandırma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sistemi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diğer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yöntemlerle,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halk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sağlığı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çevreye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zarar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vermeyecek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şekilde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çalışılan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ortamdan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dışarı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atılmasını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5)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Herhangi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bir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kaza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sonucunda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beklenmeyen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bir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şekilde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ortama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yayılması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hâlinde,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bu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durumun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erken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tespiti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için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uygun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ölçüm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sistemleri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bulunmasını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6)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Uygun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çalışma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yöntemleri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işlemlerin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kullanılmasını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7)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Alınan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diğer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önlemlerle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toplu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korumanın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sağlanamadığı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maruziyetin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önlenemediği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durumlarda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uygun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kişisel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korunma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yöntemleri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kişisel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koruyucu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donanımların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kullanılmasını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8)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Özellikle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çalışma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ortam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zemini,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duvarlar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diğer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yüzeylerin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düzenli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olarak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temizlenmesini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hijyen</w:t>
                  </w:r>
                  <w:proofErr w:type="gram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şartlarını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9)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Çalışanları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bilgilendirir.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10)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maddelere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maruz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kalınan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maruz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kalma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riski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bulunan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lastRenderedPageBreak/>
                    <w:t>yerleri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uygun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ikaz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levhaları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güvenlik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işaretleri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ile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belirler.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Bu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yerlerde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sigara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kullanılmasının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yeme,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içmenin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yasak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olduğunu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belirten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ikaz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levhalarını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bulundurur.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11)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İlgili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mevzuat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gereği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hazırlanacak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acil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durum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planında,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yüksek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düzeyde</w:t>
                  </w:r>
                  <w:r w:rsidR="0066707C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maruziyete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neden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olabilecek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durumlara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yönelik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eylemler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planlanır.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12)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güvenli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şekilde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depolanması,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taşınması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işlem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görmesi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için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bu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açıkça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görünür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şekilde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etiketlenmiş,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sızdırmaz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kapalı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kaplarda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bulundurulmasını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sağlar.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Bu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kullanıldığı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depolandığı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alanlara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görevli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olmayanların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giriş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çıkışlarını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kontrol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altında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tutar.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13)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Atıkların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çalışanlar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tarafından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güvenli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bir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şekilde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toplanması,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depolanması</w:t>
                  </w:r>
                  <w:r w:rsidR="0066707C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uzaklaştırılıp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zararsız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hale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getirilmesinde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açıkça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görünür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şekilde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etiketlenmiş,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sızdırmaz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kapalı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kaplar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kullanılmasını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66707C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(2)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maddeler,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31/3/2007</w:t>
                  </w:r>
                  <w:proofErr w:type="gramEnd"/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tarihli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26479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sayılı</w:t>
                  </w:r>
                  <w:r w:rsidR="0066707C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Resmî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Gazete`de</w:t>
                  </w:r>
                  <w:proofErr w:type="spellEnd"/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yayımlanan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Tehlikeli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Karayoluyla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Taşınması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Hakkında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Yönetmelik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8/9/2009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tarihli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2009/15454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sayılı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Bakanlar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Kurulu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Kararıyla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yürürlüğe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konulan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Tehlikeli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Malların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Karayolu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ile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Uluslararası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Taşımacılığına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İlişkin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Avrupa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Anlaşması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(ADR)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tr-TR"/>
                    </w:rPr>
                    <w:t>hükümlerine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tr-TR"/>
                    </w:rPr>
                    <w:t>uygun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tr-TR"/>
                    </w:rPr>
                    <w:t>olarak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tr-TR"/>
                    </w:rPr>
                    <w:t>taşınır.</w:t>
                  </w:r>
                </w:p>
                <w:p w:rsidR="0066707C" w:rsidRDefault="0066707C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67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Yetkili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makama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bilgi</w:t>
                  </w:r>
                  <w:r w:rsidR="004C3066" w:rsidRPr="00667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6670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verilmesi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8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gerçekleştirilen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değerlendirmesi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sonucunda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yönünden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bulunduğu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saptanan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Bakanlıkça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istendiğinde,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işveren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aşağıdaki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konularda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yeterli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kullanıldığı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işlemler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kullanılma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nedeni.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üretilen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miktarı.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sayısı.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araç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gerecin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türü.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türü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düzeyi.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İkame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yapılıp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yapılamadığı.</w:t>
                  </w:r>
                </w:p>
                <w:p w:rsidR="002431AE" w:rsidRPr="00DD3A3F" w:rsidRDefault="002431A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Öngörülemeyen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maruziyet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9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yüksek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düzeyde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maruziyetine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beklenmedik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olay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kaza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hâlinde;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hakkında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derhal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Yüksek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düzeydeki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ortadan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kaldırılıp,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normale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dönünceye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kadar;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Etkilenmiş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sadece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onarım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diğer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zorunlu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yapacak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girmesine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izin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verilir.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Etkilenmiş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girecek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giysi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solunum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ekipman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kullanmaları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sağlanarak,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etkilenmiş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mümkün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olduğunca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kısa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süreli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çalıştırılır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süreklilik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engellenir.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sağlanmayanların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etkilenmiş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çalışmasına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izin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verilmez.</w:t>
                  </w:r>
                </w:p>
                <w:p w:rsidR="002431AE" w:rsidRPr="00DD3A3F" w:rsidRDefault="002431A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Öngörülebilir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maruziyet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10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maruziyetinin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önemli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ölçüde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ihtimali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azaltıcı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teknik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hâlihazırda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alınmış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olduğu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bakım,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onarım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gibi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Genel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sorumlulukları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devam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etmek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şartıyla,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ve/veya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temsilcilerine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danıştıktan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sonra,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korunmasını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sağlamak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maruziyetlerini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asgari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süreye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indirmek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Yüksek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düzeyde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maruziyete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koşulların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devamı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süresince,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giysi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solunum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ekipman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kullanmalarını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sağlar.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koşullardaki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mümkün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olduğunca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kısa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süreli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olmasını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sağlayarak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koşulların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süreklilik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etmesini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engeller.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Bu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işlerin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yapıldığı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alanları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belirleyerek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açık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bir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şekilde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işaretler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yetkili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olmayan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kişilerin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bu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alanlara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girmesini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önler.</w:t>
                  </w:r>
                </w:p>
                <w:p w:rsidR="002431AE" w:rsidRPr="00DD3A3F" w:rsidRDefault="002431A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Riskli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alanlara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giriş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11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gerçekleştirilen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değerlendirmesine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yönünden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bulunan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alanlara,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sadece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görevi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girmesi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izin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verir,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dışındakilerin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girmemesi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alır.</w:t>
                  </w:r>
                </w:p>
                <w:p w:rsidR="002431AE" w:rsidRPr="00DD3A3F" w:rsidRDefault="002431A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Hijyen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kişisel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korunma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12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kirlenme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ihtimali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aşağıdaki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yapıldığı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yerlerde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yemeleri,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içmeleri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sigara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kullanmaları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önlenir.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giysi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özel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giysi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verilir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günlük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kıyafetlerinden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ayrı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yerlerde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saklanabilmesi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birbirinden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ayrı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elbise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dolapları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bulundurulur.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yeterli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yıkanma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yeri,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tuvalet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temizlik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malzemesi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sağlanır.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Kişisel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donanımların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özel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yerlerde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şartlarda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saklanması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sağlanır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kullanımdan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mümkünse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kullanmadan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önce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kontrol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edilerek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temizlenir,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tamir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edilir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değiştirilir.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belirtilen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tedbirlerin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maliyetini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yansıtamaz.</w:t>
                  </w:r>
                </w:p>
                <w:p w:rsidR="002431AE" w:rsidRPr="00DD3A3F" w:rsidRDefault="002431A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bilgilendirilmesi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eğitimi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13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ve/veya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temsilcilerinin,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eğitimlerine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ilişkin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mevzuat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hükümlerini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dikkate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alarak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yeterli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almalarını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özellikle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aşağıdaki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konularda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talimatı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etkileri.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Tütün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kullanımının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getirebileceği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dâhil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sağlığı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etkileyebilecek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riskler.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alınacak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Hijyen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kuralları.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Kişisel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donanımların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kullanılması.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Kazaların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önlenmesi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kaza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halinde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kurtarma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dâhil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yapılması</w:t>
                  </w:r>
                  <w:r w:rsidR="00243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içeren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tesis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kapların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üzerinde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bulunması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anlaşılır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okunaklı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etiketler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ile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açıkça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görülebilir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uyarı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tehlike</w:t>
                  </w:r>
                  <w:r w:rsidR="004C3066"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431A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işaretleri.</w:t>
                  </w:r>
                </w:p>
                <w:p w:rsidR="00A7382F" w:rsidRDefault="004C3066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Yeni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ortaya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çıktığında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mevcut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risklerde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değişiklik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olduğunda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yenilenir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gerektiği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durumlarda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aralıklarla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7382F"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tekrarlanır.</w:t>
                  </w:r>
                </w:p>
                <w:p w:rsidR="002431AE" w:rsidRPr="00DD3A3F" w:rsidRDefault="002431A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bilgi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alma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hakkı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14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ve/veya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temsilcileri,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hükümlerinin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uygulanmasını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izleme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özellikle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aşağıdaki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konularda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uygulamalara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katılma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hakkına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sahiptir.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kişisel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donanımı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belirleme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sorumluluğu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saklı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kalmak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kaydıyla,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donanımın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seçimi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kullanılmasının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güvenliğine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etkilerinin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belirlenmesinde.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sorumluluğu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saklı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kalmak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kaydıyla,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birinci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fıkrasının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bendinde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belirtilen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alınacak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belirlenmesinde.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belirtilen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dâhil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olmak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üzere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</w:t>
                  </w:r>
                  <w:proofErr w:type="spellEnd"/>
                  <w:r w:rsidR="005C4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yüksek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olabileceği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durumlar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hakkında,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ve/veya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temsilcileri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kısa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sürede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bilgilendirilir.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Olayın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nedenleri,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önleyici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tedbirler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düzeltilmesi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hakkında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verilir.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İşyerinde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kullanılan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kanserojen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veya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maddelerin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malzeme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güvenlik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bilgi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formları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temin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edilip,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ilgili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ve/veya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temsilcilerinin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bunlara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kolayca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ulaşabilmeleri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sağlanır.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değerlendirmesine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göre,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yönünden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güncellenmiş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listesini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bunların</w:t>
                  </w:r>
                  <w:r w:rsidR="005C4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durumlarını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belirten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kayıtları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tutar.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Yukarıda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belirtilen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liste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kayıtları;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işyeri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hekimi,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işyerinde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sağlık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güvenlikten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sorumlu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kişiler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ve/veya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yetkili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merciler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inceleme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hakkına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sahiptirler.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Her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kendisi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ile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ilgili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listedeki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kişisel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bilgileri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alma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hakkına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sahiptir.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ve/veya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temsilcileri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bilgilerin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tümünü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isimsiz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olarak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alma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hakkına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sahiptir.</w:t>
                  </w:r>
                </w:p>
                <w:p w:rsidR="005C435E" w:rsidRPr="00DD3A3F" w:rsidRDefault="005C435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görüşlerinin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alınması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katılımlarının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sağlanması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15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belirtilen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konularda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ve/veya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temsilcilerinin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6331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Kanunun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inci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maddesine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olarak;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görüşlerini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alır,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teklif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getirme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tanır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konulardaki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görüşmelerde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almalarını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katılımlarını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ve/veya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temsilcilerinin,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güvenliğinin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sağlanması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yetersiz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olduğu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durumlarda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teftiş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sırasında,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yetkili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makama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başvurmalarından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dolayı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kısıtlanamaz.</w:t>
                  </w:r>
                </w:p>
                <w:p w:rsidR="005C435E" w:rsidRPr="00DD3A3F" w:rsidRDefault="005C435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ÜÇÜNCÜ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BÖLÜM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Çeşitli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Hükümler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gözetimi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16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oluşabilecek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sorunlarına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erken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konulması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5C4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maruziyetinden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kaynaklanabilecek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risklerinden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korunmaları</w:t>
                  </w:r>
                  <w:r w:rsidR="005C4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amacıyla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öncesinde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daha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düzenli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aralıklarla;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aşağıdaki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durumlarda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tabi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tutulmalarını</w:t>
                  </w:r>
                  <w:r w:rsidR="005C4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6331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Kanunun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inci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kapsamında.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gerçekleştirilen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değerlendirmesi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sonuçlarına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gerektirmesi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hâlinde.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kişisel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mesleki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hijyen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derhal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alınabilmesi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mümkün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olacak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şekilde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düzenlemeleri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yapar.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sonucunda,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saptanan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sorununun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nedeniyle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oluştuğunun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tespiti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halinde;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kişisel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kayıtları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tutulur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hekimi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tarafından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koruyucu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5C4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önleyici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tedbirler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önerilir.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Çalışana,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sonrasında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takip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edilmesi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ilgili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tavsiyeler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verilir.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İşveren;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değerlendirmesini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geçirir.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azaltmak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geçirir.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Riskleri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önlemek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azaltmak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görülen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kalmayacağı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başka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görevlendirilmesi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dâhil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benzeri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uygular.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İşyeri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hekiminin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gördüğü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durumlarda;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benzer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biçimde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kalan</w:t>
                  </w:r>
                  <w:r w:rsidR="005C4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düzenli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şekilde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tabi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tutulmalarını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sağlar.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kendisi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işveren,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sonuçlarının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yeniden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değerlendirilmesini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isteyebilir.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kendilerine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ait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sonuçlarına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ait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hakkına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sahiptir.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dikkat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edilmesi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hususlar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Ek-3’te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verilmiştir.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İşyerinde,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hizmeti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sunucuları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hekimi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tarafından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nedeniyle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oluştuğu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tanısı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vakaları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6331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Kanunun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üncü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uyarınca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ilgili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kurum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kuruluşlara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bildirilir.</w:t>
                  </w:r>
                </w:p>
                <w:p w:rsidR="005C435E" w:rsidRPr="00DD3A3F" w:rsidRDefault="005C435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Kayıtların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saklanması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17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14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üncü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16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ncı</w:t>
                  </w:r>
                  <w:proofErr w:type="spellEnd"/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maddelerde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belirtilen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kayıtlar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maruziyetin</w:t>
                  </w:r>
                  <w:proofErr w:type="spellEnd"/>
                  <w:r w:rsid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sona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ermesinden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sonra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en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az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40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yıl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süre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ile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saklanır.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İşyerinde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faaliyetin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halinde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işveren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kayıtları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Sosyal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Kurumu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Müdürlüğüne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teslim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eder.</w:t>
                  </w:r>
                </w:p>
                <w:p w:rsidR="005C435E" w:rsidRPr="00DD3A3F" w:rsidRDefault="005C435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maddeler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sınır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değerleri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18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Yönetmeliğin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uygulamasında;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olarak,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26/12/2008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27092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Mükerrer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Resmî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Gazete`de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yayımlanan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Tehlikeli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Müstahzarların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Sınıflandırılması,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Ambalajlanması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Etiketlenmesi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Hakkında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Yönetmeliğin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Ek-2`deki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sınıflandırma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dikkate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alınır.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Ayrıca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Dünya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Sağlık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Örgütü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tarafından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yayımlanmış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olan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listeler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de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dikkate</w:t>
                  </w:r>
                  <w:r w:rsidR="004C3066"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C435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alınabilir.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sınır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Ek-2`de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verilmiştir.</w:t>
                  </w:r>
                </w:p>
                <w:p w:rsidR="005C435E" w:rsidRPr="00DD3A3F" w:rsidRDefault="005C435E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Yürürlükten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kaldırılan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yönetmelik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19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26/12/2003</w:t>
                  </w:r>
                  <w:proofErr w:type="gram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25328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Resmî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Gazete’de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yayımlanan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Çalışmalarda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Önlemleri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Hakkında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yürürlükten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kaldırılmıştır.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Yürürlük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20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yayımı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yürürlüğe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girer.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Yürütme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21</w:t>
                  </w:r>
                  <w:r w:rsidR="004C30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hükümlerini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Çalışma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Sosyal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Güvenlik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Bakanı</w:t>
                  </w:r>
                  <w:r w:rsidR="005C4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yürütür.</w:t>
                  </w:r>
                </w:p>
                <w:p w:rsidR="00A7382F" w:rsidRPr="00DD3A3F" w:rsidRDefault="004C3066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A7382F" w:rsidRPr="00DD3A3F" w:rsidRDefault="004C3066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C43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EK-1</w:t>
                  </w:r>
                </w:p>
                <w:p w:rsidR="00A7382F" w:rsidRPr="00DD3A3F" w:rsidRDefault="004C3066" w:rsidP="00A7382F">
                  <w:pPr>
                    <w:spacing w:after="0" w:line="240" w:lineRule="atLeast"/>
                    <w:ind w:firstLine="4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4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Yönetmeliğin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üncü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maddesinin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birinci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fıkrasının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(a)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bendinin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numaralı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bendinde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atıf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işlemler: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Üreamin</w:t>
                  </w:r>
                  <w:proofErr w:type="spellEnd"/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üretimi.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Kömür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kurumu,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kömür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katranı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ziftinde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bulunan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polisiklik</w:t>
                  </w:r>
                  <w:proofErr w:type="spellEnd"/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aromatik</w:t>
                  </w:r>
                  <w:proofErr w:type="gramEnd"/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hidrokarbonlara</w:t>
                  </w:r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maruziyete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Bakır-nikel</w:t>
                  </w:r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cevherinin</w:t>
                  </w:r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kavrulması</w:t>
                  </w:r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elektro</w:t>
                  </w:r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rafinasyonu</w:t>
                  </w:r>
                  <w:proofErr w:type="spellEnd"/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işleminde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açığa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çıkan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toz,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serpinti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dumana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="00804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Kuvvetli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asit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işlemi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isopropil</w:t>
                  </w:r>
                  <w:proofErr w:type="spellEnd"/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alkol</w:t>
                  </w:r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üretimi.</w:t>
                  </w:r>
                </w:p>
                <w:p w:rsidR="00A7382F" w:rsidRDefault="00A7382F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Sert</w:t>
                  </w:r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odun</w:t>
                  </w:r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>tozuna</w:t>
                  </w:r>
                  <w:r w:rsidR="004C3066" w:rsidRPr="00804BC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maruziyete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işler.</w:t>
                  </w:r>
                </w:p>
                <w:p w:rsidR="00FF11A0" w:rsidRDefault="00FF11A0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FF11A0" w:rsidRPr="00DD3A3F" w:rsidRDefault="00FF11A0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  <w:p w:rsidR="00A7382F" w:rsidRPr="00DD3A3F" w:rsidRDefault="004C3066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E2012E" w:rsidRDefault="00E2012E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E2012E" w:rsidRDefault="00E2012E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A7382F" w:rsidRPr="00E2012E" w:rsidRDefault="00A7382F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tr-TR"/>
                    </w:rPr>
                  </w:pPr>
                  <w:r w:rsidRPr="00E201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lastRenderedPageBreak/>
                    <w:t>EK-2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01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MESLEKİ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MARUZİYET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SINIR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DEĞERLERİ</w:t>
                  </w:r>
                </w:p>
                <w:p w:rsidR="00A7382F" w:rsidRPr="00DD3A3F" w:rsidRDefault="004C3066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9"/>
                    <w:gridCol w:w="1631"/>
                    <w:gridCol w:w="1253"/>
                    <w:gridCol w:w="1240"/>
                    <w:gridCol w:w="1087"/>
                    <w:gridCol w:w="1619"/>
                  </w:tblGrid>
                  <w:tr w:rsidR="00A7382F" w:rsidRPr="00DD3A3F">
                    <w:trPr>
                      <w:trHeight w:val="20"/>
                      <w:jc w:val="center"/>
                    </w:trPr>
                    <w:tc>
                      <w:tcPr>
                        <w:tcW w:w="2236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Maddenin</w:t>
                        </w:r>
                        <w:r w:rsidR="004C3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adı</w:t>
                        </w:r>
                      </w:p>
                    </w:tc>
                    <w:tc>
                      <w:tcPr>
                        <w:tcW w:w="1637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EINECS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(1)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CAS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(2)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Sınır</w:t>
                        </w:r>
                        <w:r w:rsidR="004C3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Değerler</w:t>
                        </w:r>
                      </w:p>
                    </w:tc>
                    <w:tc>
                      <w:tcPr>
                        <w:tcW w:w="1627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Açıklama</w:t>
                        </w:r>
                      </w:p>
                    </w:tc>
                  </w:tr>
                  <w:tr w:rsidR="00A7382F" w:rsidRPr="00DD3A3F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mg</w:t>
                        </w:r>
                        <w:proofErr w:type="gramEnd"/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/</w:t>
                        </w:r>
                        <w:r w:rsidR="004C3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m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3(3)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ppm</w:t>
                        </w:r>
                        <w:proofErr w:type="spellEnd"/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(4)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A7382F" w:rsidRPr="00DD3A3F">
                    <w:trPr>
                      <w:trHeight w:val="20"/>
                      <w:jc w:val="center"/>
                    </w:trPr>
                    <w:tc>
                      <w:tcPr>
                        <w:tcW w:w="223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Benzen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200-753-7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71-43-2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3.25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(5)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(5)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Deri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(6)</w:t>
                        </w:r>
                      </w:p>
                    </w:tc>
                  </w:tr>
                  <w:tr w:rsidR="00A7382F" w:rsidRPr="00DD3A3F">
                    <w:trPr>
                      <w:trHeight w:val="20"/>
                      <w:jc w:val="center"/>
                    </w:trPr>
                    <w:tc>
                      <w:tcPr>
                        <w:tcW w:w="223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Vinilklorür</w:t>
                        </w:r>
                        <w:proofErr w:type="spellEnd"/>
                        <w:r w:rsidR="004C30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monomeri</w:t>
                        </w:r>
                        <w:proofErr w:type="spellEnd"/>
                      </w:p>
                    </w:tc>
                    <w:tc>
                      <w:tcPr>
                        <w:tcW w:w="16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200-831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75-01-4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7.77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(5)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(5)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—</w:t>
                        </w:r>
                      </w:p>
                    </w:tc>
                  </w:tr>
                  <w:tr w:rsidR="00A7382F" w:rsidRPr="00DD3A3F">
                    <w:trPr>
                      <w:trHeight w:val="20"/>
                      <w:jc w:val="center"/>
                    </w:trPr>
                    <w:tc>
                      <w:tcPr>
                        <w:tcW w:w="223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Sert</w:t>
                        </w:r>
                        <w:r w:rsidR="004C30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ağaç</w:t>
                        </w:r>
                        <w:r w:rsidR="004C30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tozları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—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—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5.0</w:t>
                        </w:r>
                        <w:r w:rsidRPr="00DD3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tr-TR"/>
                          </w:rPr>
                          <w:t>(5)(7)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—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A7382F" w:rsidRPr="00DD3A3F" w:rsidRDefault="00A7382F" w:rsidP="00A7382F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3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—</w:t>
                        </w:r>
                      </w:p>
                    </w:tc>
                  </w:tr>
                </w:tbl>
                <w:p w:rsidR="00A7382F" w:rsidRPr="00DD3A3F" w:rsidRDefault="004C3066" w:rsidP="00A7382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(1)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EINECS: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Mevcut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kimyasal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Avrupa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envanteri</w:t>
                  </w:r>
                  <w:proofErr w:type="gramEnd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(2)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CAS: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Kimyasal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abstrakt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servis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numarası.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(3)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mg/m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3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metre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küp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havadaki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miligram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olarak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(20°C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sıcaklıkta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760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mm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Cıva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basıncında).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(4)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ppm</w:t>
                  </w:r>
                  <w:proofErr w:type="spellEnd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metre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küp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havadaki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maddenin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mililitre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olarak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(mililitre/metreküp).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(5)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Sekiz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saatlik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referans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zamanına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hesaplanan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ölçülen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değer.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(6)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yoluyla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maruziyetin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olabildiği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durumlar.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(7)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Sert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ağaç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tozu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diğer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ağaç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tozları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karışık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ise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karışımın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tümü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için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değer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uygulanır.</w:t>
                  </w:r>
                </w:p>
                <w:p w:rsidR="00A7382F" w:rsidRPr="00DD3A3F" w:rsidRDefault="004C3066" w:rsidP="00A7382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01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tr-TR"/>
                    </w:rPr>
                    <w:t>EK-3</w:t>
                  </w:r>
                </w:p>
                <w:p w:rsidR="00A7382F" w:rsidRPr="00DD3A3F" w:rsidRDefault="004C3066" w:rsidP="00A7382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left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gözetiminde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dikkat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edilmesi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gereken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hususlar: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4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Kanserojen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veya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mutajen</w:t>
                  </w:r>
                  <w:proofErr w:type="spellEnd"/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maddelere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kalan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gözetiminden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sorumlu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işyeri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hekimi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diğer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personeli,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durumlarını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maruziyet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koşullarını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bilmelidir.</w:t>
                  </w:r>
                </w:p>
                <w:p w:rsidR="00A7382F" w:rsidRPr="00DD3A3F" w:rsidRDefault="00A7382F" w:rsidP="00A7382F">
                  <w:pPr>
                    <w:spacing w:after="0" w:line="240" w:lineRule="atLeast"/>
                    <w:ind w:firstLine="4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gözetimi,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6331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sayılı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Kanunun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inci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maddesi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hükümlerine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uygun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olarak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yürütülmeli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aşağıdaki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hususları</w:t>
                  </w:r>
                  <w:r w:rsidR="004C30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içermelidir:</w:t>
                  </w:r>
                </w:p>
                <w:p w:rsidR="00A7382F" w:rsidRPr="00E2012E" w:rsidRDefault="00A7382F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a)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mesleki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tıbbi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öz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geçmişleri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ile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ilgili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kayıtların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tutulması.</w:t>
                  </w:r>
                </w:p>
                <w:p w:rsidR="00A7382F" w:rsidRPr="00E2012E" w:rsidRDefault="00A7382F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b)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Çalışanların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sağlık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muayenelerinin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yapılması.</w:t>
                  </w:r>
                </w:p>
                <w:p w:rsidR="00A7382F" w:rsidRPr="00E2012E" w:rsidRDefault="00A7382F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c)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Çalışanlarda,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ilk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ve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geri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döndürülebilir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etkilerinin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tespitinin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yanı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sıra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mümkün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olduğu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hallerde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biyolojik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izlemenin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yapılması.</w:t>
                  </w:r>
                </w:p>
                <w:p w:rsidR="00A7382F" w:rsidRPr="00E2012E" w:rsidRDefault="00A7382F" w:rsidP="00A7382F">
                  <w:pPr>
                    <w:spacing w:after="0" w:line="240" w:lineRule="atLeast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</w:pP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d)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Sağlık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gözetimi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kapsamında,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çalışanlara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iş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sağlığı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alanında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en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son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geliştirilen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testlerin</w:t>
                  </w:r>
                  <w:r w:rsidR="004C3066"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012E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tr-TR"/>
                    </w:rPr>
                    <w:t>uygulanması.</w:t>
                  </w:r>
                </w:p>
                <w:p w:rsidR="00A7382F" w:rsidRPr="00DD3A3F" w:rsidRDefault="004C3066" w:rsidP="00A73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</w:tr>
          </w:tbl>
          <w:p w:rsidR="00A7382F" w:rsidRPr="00A7382F" w:rsidRDefault="00A7382F" w:rsidP="00A7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7382F" w:rsidRPr="00A7382F" w:rsidRDefault="004C3066" w:rsidP="00A738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 xml:space="preserve"> </w:t>
      </w:r>
    </w:p>
    <w:p w:rsidR="00A1530B" w:rsidRDefault="00A1530B"/>
    <w:sectPr w:rsidR="00A1530B" w:rsidSect="004C3066">
      <w:headerReference w:type="default" r:id="rId7"/>
      <w:footerReference w:type="default" r:id="rId8"/>
      <w:pgSz w:w="11906" w:h="16838"/>
      <w:pgMar w:top="1417" w:right="991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26" w:rsidRDefault="007F4126" w:rsidP="004C3066">
      <w:pPr>
        <w:spacing w:after="0" w:line="240" w:lineRule="auto"/>
      </w:pPr>
      <w:r>
        <w:separator/>
      </w:r>
    </w:p>
  </w:endnote>
  <w:endnote w:type="continuationSeparator" w:id="0">
    <w:p w:rsidR="007F4126" w:rsidRDefault="007F4126" w:rsidP="004C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794012"/>
      <w:docPartObj>
        <w:docPartGallery w:val="Page Numbers (Bottom of Page)"/>
        <w:docPartUnique/>
      </w:docPartObj>
    </w:sdtPr>
    <w:sdtContent>
      <w:p w:rsidR="004C3066" w:rsidRDefault="004C306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12E">
          <w:rPr>
            <w:noProof/>
          </w:rPr>
          <w:t>1</w:t>
        </w:r>
        <w:r>
          <w:fldChar w:fldCharType="end"/>
        </w:r>
      </w:p>
    </w:sdtContent>
  </w:sdt>
  <w:p w:rsidR="004C3066" w:rsidRDefault="004C30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26" w:rsidRDefault="007F4126" w:rsidP="004C3066">
      <w:pPr>
        <w:spacing w:after="0" w:line="240" w:lineRule="auto"/>
      </w:pPr>
      <w:r>
        <w:separator/>
      </w:r>
    </w:p>
  </w:footnote>
  <w:footnote w:type="continuationSeparator" w:id="0">
    <w:p w:rsidR="007F4126" w:rsidRDefault="007F4126" w:rsidP="004C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1"/>
      <w:gridCol w:w="2931"/>
      <w:gridCol w:w="2927"/>
    </w:tblGrid>
    <w:tr w:rsidR="004C3066" w:rsidRPr="00DD3A3F" w:rsidTr="004C3066">
      <w:trPr>
        <w:trHeight w:val="317"/>
        <w:jc w:val="center"/>
      </w:trPr>
      <w:tc>
        <w:tcPr>
          <w:tcW w:w="2931" w:type="dxa"/>
          <w:tcBorders>
            <w:top w:val="nil"/>
            <w:left w:val="nil"/>
            <w:bottom w:val="single" w:sz="8" w:space="0" w:color="660066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C3066" w:rsidRPr="00DD3A3F" w:rsidRDefault="004C3066" w:rsidP="004C3066">
          <w:pPr>
            <w:spacing w:after="0" w:line="240" w:lineRule="atLeas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D3A3F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6 Ağustos 2013  SALI</w:t>
          </w:r>
        </w:p>
      </w:tc>
      <w:tc>
        <w:tcPr>
          <w:tcW w:w="2931" w:type="dxa"/>
          <w:tcBorders>
            <w:top w:val="nil"/>
            <w:left w:val="nil"/>
            <w:bottom w:val="single" w:sz="8" w:space="0" w:color="660066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C3066" w:rsidRPr="00DD3A3F" w:rsidRDefault="004C3066" w:rsidP="004C3066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DD3A3F">
            <w:rPr>
              <w:rFonts w:ascii="Times New Roman" w:eastAsia="Times New Roman" w:hAnsi="Times New Roman" w:cs="Times New Roman"/>
              <w:b/>
              <w:bCs/>
              <w:color w:val="800080"/>
              <w:sz w:val="24"/>
              <w:szCs w:val="24"/>
              <w:lang w:eastAsia="tr-TR"/>
            </w:rPr>
            <w:t>Resmî Gazete</w:t>
          </w:r>
        </w:p>
      </w:tc>
      <w:tc>
        <w:tcPr>
          <w:tcW w:w="2927" w:type="dxa"/>
          <w:tcBorders>
            <w:top w:val="nil"/>
            <w:left w:val="nil"/>
            <w:bottom w:val="single" w:sz="8" w:space="0" w:color="660066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C3066" w:rsidRPr="00DD3A3F" w:rsidRDefault="004C3066" w:rsidP="004C3066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proofErr w:type="gramStart"/>
          <w:r w:rsidRPr="00DD3A3F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Sayı : 28730</w:t>
          </w:r>
          <w:proofErr w:type="gramEnd"/>
        </w:p>
      </w:tc>
    </w:tr>
  </w:tbl>
  <w:p w:rsidR="004C3066" w:rsidRPr="004C3066" w:rsidRDefault="004C3066" w:rsidP="004C3066">
    <w:pPr>
      <w:spacing w:before="56" w:after="0" w:line="240" w:lineRule="atLeast"/>
      <w:jc w:val="center"/>
      <w:rPr>
        <w:rFonts w:ascii="Times New Roman" w:eastAsia="Times New Roman" w:hAnsi="Times New Roman" w:cs="Times New Roman"/>
        <w:color w:val="0070C0"/>
        <w:lang w:eastAsia="tr-TR"/>
      </w:rPr>
    </w:pPr>
    <w:r w:rsidRPr="004C3066">
      <w:rPr>
        <w:rFonts w:ascii="Times New Roman" w:eastAsia="Times New Roman" w:hAnsi="Times New Roman" w:cs="Times New Roman"/>
        <w:color w:val="0070C0"/>
        <w:lang w:eastAsia="tr-TR"/>
      </w:rPr>
      <w:t>KANSEROJEN VEYA MUTAJEN MADDELERLE ÇALIŞMALARDA SAĞLIK VE</w:t>
    </w:r>
    <w:r>
      <w:rPr>
        <w:rFonts w:ascii="Times New Roman" w:eastAsia="Times New Roman" w:hAnsi="Times New Roman" w:cs="Times New Roman"/>
        <w:color w:val="0070C0"/>
        <w:lang w:eastAsia="tr-TR"/>
      </w:rPr>
      <w:t xml:space="preserve"> </w:t>
    </w:r>
    <w:r w:rsidRPr="004C3066">
      <w:rPr>
        <w:rFonts w:ascii="Times New Roman" w:eastAsia="Times New Roman" w:hAnsi="Times New Roman" w:cs="Times New Roman"/>
        <w:color w:val="0070C0"/>
        <w:lang w:eastAsia="tr-TR"/>
      </w:rPr>
      <w:t>GÜVENLİK ÖNLEMLERİ HAKKINDA YÖNETMELİK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2F"/>
    <w:rsid w:val="0014392A"/>
    <w:rsid w:val="002431AE"/>
    <w:rsid w:val="004C3066"/>
    <w:rsid w:val="005C435E"/>
    <w:rsid w:val="0066707C"/>
    <w:rsid w:val="007F4126"/>
    <w:rsid w:val="00804BC5"/>
    <w:rsid w:val="00A1530B"/>
    <w:rsid w:val="00A7382F"/>
    <w:rsid w:val="00D4498E"/>
    <w:rsid w:val="00DD3A3F"/>
    <w:rsid w:val="00E2012E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7382F"/>
  </w:style>
  <w:style w:type="character" w:customStyle="1" w:styleId="grame">
    <w:name w:val="grame"/>
    <w:basedOn w:val="VarsaylanParagrafYazTipi"/>
    <w:rsid w:val="00A7382F"/>
  </w:style>
  <w:style w:type="paragraph" w:styleId="NormalWeb">
    <w:name w:val="Normal (Web)"/>
    <w:basedOn w:val="Normal"/>
    <w:uiPriority w:val="99"/>
    <w:unhideWhenUsed/>
    <w:rsid w:val="00A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A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A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A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7382F"/>
  </w:style>
  <w:style w:type="paragraph" w:styleId="stbilgi">
    <w:name w:val="header"/>
    <w:basedOn w:val="Normal"/>
    <w:link w:val="stbilgiChar"/>
    <w:uiPriority w:val="99"/>
    <w:unhideWhenUsed/>
    <w:rsid w:val="004C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3066"/>
  </w:style>
  <w:style w:type="paragraph" w:styleId="Altbilgi">
    <w:name w:val="footer"/>
    <w:basedOn w:val="Normal"/>
    <w:link w:val="AltbilgiChar"/>
    <w:uiPriority w:val="99"/>
    <w:unhideWhenUsed/>
    <w:rsid w:val="004C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3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7382F"/>
  </w:style>
  <w:style w:type="character" w:customStyle="1" w:styleId="grame">
    <w:name w:val="grame"/>
    <w:basedOn w:val="VarsaylanParagrafYazTipi"/>
    <w:rsid w:val="00A7382F"/>
  </w:style>
  <w:style w:type="paragraph" w:styleId="NormalWeb">
    <w:name w:val="Normal (Web)"/>
    <w:basedOn w:val="Normal"/>
    <w:uiPriority w:val="99"/>
    <w:unhideWhenUsed/>
    <w:rsid w:val="00A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A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A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A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7382F"/>
  </w:style>
  <w:style w:type="paragraph" w:styleId="stbilgi">
    <w:name w:val="header"/>
    <w:basedOn w:val="Normal"/>
    <w:link w:val="stbilgiChar"/>
    <w:uiPriority w:val="99"/>
    <w:unhideWhenUsed/>
    <w:rsid w:val="004C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3066"/>
  </w:style>
  <w:style w:type="paragraph" w:styleId="Altbilgi">
    <w:name w:val="footer"/>
    <w:basedOn w:val="Normal"/>
    <w:link w:val="AltbilgiChar"/>
    <w:uiPriority w:val="99"/>
    <w:unhideWhenUsed/>
    <w:rsid w:val="004C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seyithan</cp:lastModifiedBy>
  <cp:revision>8</cp:revision>
  <cp:lastPrinted>2014-02-19T20:40:00Z</cp:lastPrinted>
  <dcterms:created xsi:type="dcterms:W3CDTF">2013-08-06T09:47:00Z</dcterms:created>
  <dcterms:modified xsi:type="dcterms:W3CDTF">2014-02-19T20:40:00Z</dcterms:modified>
</cp:coreProperties>
</file>